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549D" w:rsidRPr="00446F9D" w:rsidRDefault="00A6549D" w:rsidP="00A6549D">
      <w:pPr>
        <w:pStyle w:val="Header"/>
        <w:tabs>
          <w:tab w:val="clear" w:pos="4536"/>
        </w:tabs>
        <w:rPr>
          <w:i/>
        </w:rPr>
      </w:pPr>
      <w:r w:rsidRPr="00446F9D">
        <w:t xml:space="preserve">TSG-RAN WG1 </w:t>
      </w:r>
      <w:r>
        <w:t>#91</w:t>
      </w:r>
      <w:r w:rsidRPr="00446F9D">
        <w:tab/>
      </w:r>
      <w:r w:rsidR="00896439" w:rsidRPr="00896439">
        <w:t>R1-</w:t>
      </w:r>
      <w:r w:rsidR="009D74FB" w:rsidRPr="00896439">
        <w:t>17</w:t>
      </w:r>
      <w:r w:rsidR="00DB4CD3">
        <w:t>21528</w:t>
      </w:r>
    </w:p>
    <w:p w:rsidR="00A6549D" w:rsidRPr="000833FA" w:rsidRDefault="00A6549D" w:rsidP="00A6549D">
      <w:pPr>
        <w:pStyle w:val="Header"/>
        <w:rPr>
          <w:color w:val="000000"/>
        </w:rPr>
      </w:pPr>
      <w:r>
        <w:t>Reno, NV, US, November 27 – December 1, 2017</w:t>
      </w:r>
    </w:p>
    <w:p w:rsidR="00A6549D" w:rsidRPr="000833FA" w:rsidRDefault="00A6549D" w:rsidP="00A6549D">
      <w:pPr>
        <w:pStyle w:val="Header"/>
      </w:pPr>
    </w:p>
    <w:p w:rsidR="00F618ED" w:rsidRPr="0003368D" w:rsidRDefault="00F618ED" w:rsidP="00F618ED">
      <w:pPr>
        <w:pStyle w:val="Header"/>
        <w:tabs>
          <w:tab w:val="clear" w:pos="4536"/>
          <w:tab w:val="left" w:pos="1800"/>
        </w:tabs>
        <w:ind w:left="1800" w:hanging="1800"/>
      </w:pPr>
      <w:r w:rsidRPr="0003368D">
        <w:t>Source:</w:t>
      </w:r>
      <w:r w:rsidRPr="0003368D">
        <w:tab/>
        <w:t>Ericsson</w:t>
      </w:r>
      <w:r w:rsidR="00E34104">
        <w:t xml:space="preserve"> </w:t>
      </w:r>
    </w:p>
    <w:p w:rsidR="00F618ED" w:rsidRPr="00E220C0" w:rsidRDefault="00F618ED" w:rsidP="00F618ED">
      <w:pPr>
        <w:pStyle w:val="Header"/>
        <w:tabs>
          <w:tab w:val="clear" w:pos="4536"/>
          <w:tab w:val="left" w:pos="1800"/>
        </w:tabs>
      </w:pPr>
      <w:r w:rsidRPr="0003368D">
        <w:t>Title:</w:t>
      </w:r>
      <w:bookmarkStart w:id="0" w:name="Title"/>
      <w:bookmarkEnd w:id="0"/>
      <w:r w:rsidRPr="0003368D">
        <w:tab/>
      </w:r>
      <w:r w:rsidR="00262FC3">
        <w:t xml:space="preserve">Summary of </w:t>
      </w:r>
      <w:r w:rsidR="009D74FB">
        <w:t xml:space="preserve">offline session on </w:t>
      </w:r>
      <w:r w:rsidR="00C60FA1">
        <w:t>7.3.</w:t>
      </w:r>
      <w:r w:rsidR="003B5C12">
        <w:t xml:space="preserve">3.1 </w:t>
      </w:r>
      <w:r w:rsidR="0076676D">
        <w:t>part II</w:t>
      </w:r>
    </w:p>
    <w:p w:rsidR="00F618ED" w:rsidRPr="00E220C0" w:rsidRDefault="00F618ED" w:rsidP="00F618ED">
      <w:pPr>
        <w:pStyle w:val="Header"/>
        <w:tabs>
          <w:tab w:val="left" w:pos="1800"/>
        </w:tabs>
      </w:pPr>
      <w:r w:rsidRPr="00E220C0">
        <w:t>Agenda Item:</w:t>
      </w:r>
      <w:bookmarkStart w:id="1" w:name="Source"/>
      <w:bookmarkEnd w:id="1"/>
      <w:r w:rsidRPr="00E220C0">
        <w:tab/>
      </w:r>
      <w:r w:rsidR="004F430F">
        <w:t>7</w:t>
      </w:r>
      <w:r w:rsidR="00900A98">
        <w:t>.3.</w:t>
      </w:r>
      <w:r w:rsidR="003B5C12">
        <w:t>3.1</w:t>
      </w:r>
    </w:p>
    <w:p w:rsidR="00F618ED" w:rsidRPr="0003368D" w:rsidRDefault="00F618ED" w:rsidP="00F618ED">
      <w:pPr>
        <w:pStyle w:val="Header"/>
        <w:tabs>
          <w:tab w:val="left" w:pos="1800"/>
        </w:tabs>
      </w:pPr>
      <w:r w:rsidRPr="00E220C0">
        <w:t>Document for:</w:t>
      </w:r>
      <w:r w:rsidRPr="0003368D">
        <w:tab/>
      </w:r>
      <w:bookmarkStart w:id="2" w:name="DocumentFor"/>
      <w:bookmarkEnd w:id="2"/>
      <w:r w:rsidRPr="0003368D">
        <w:t xml:space="preserve">Discussion </w:t>
      </w:r>
      <w:r>
        <w:t>and Decision</w:t>
      </w:r>
    </w:p>
    <w:p w:rsidR="00F618ED" w:rsidRPr="002100D2" w:rsidRDefault="00F618ED" w:rsidP="00F618ED">
      <w:pPr>
        <w:pBdr>
          <w:bottom w:val="single" w:sz="4" w:space="1" w:color="auto"/>
        </w:pBdr>
        <w:tabs>
          <w:tab w:val="left" w:pos="2552"/>
        </w:tabs>
      </w:pPr>
    </w:p>
    <w:p w:rsidR="00950E21" w:rsidRDefault="00950E21" w:rsidP="00950E21">
      <w:pPr>
        <w:pStyle w:val="BodyText"/>
      </w:pPr>
    </w:p>
    <w:p w:rsidR="008D0E47" w:rsidRDefault="00850100" w:rsidP="00850100">
      <w:pPr>
        <w:pStyle w:val="Heading1"/>
      </w:pPr>
      <w:r>
        <w:t>Time-domain allocation</w:t>
      </w:r>
    </w:p>
    <w:p w:rsidR="005538D6" w:rsidRDefault="008E08BF" w:rsidP="005538D6">
      <w:pPr>
        <w:pStyle w:val="BodyText"/>
      </w:pPr>
      <w:r>
        <w:t>For time-domain allocation, the following was agreed at #90b:</w:t>
      </w:r>
    </w:p>
    <w:p w:rsidR="008E08BF" w:rsidRDefault="008E08BF" w:rsidP="005538D6">
      <w:pPr>
        <w:pStyle w:val="BodyText"/>
      </w:pPr>
      <w:r>
        <w:rPr>
          <w:noProof/>
        </w:rPr>
        <mc:AlternateContent>
          <mc:Choice Requires="wps">
            <w:drawing>
              <wp:inline distT="0" distB="0" distL="0" distR="0">
                <wp:extent cx="5889009" cy="1404620"/>
                <wp:effectExtent l="0" t="0" r="16510" b="2794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9009" cy="1404620"/>
                        </a:xfrm>
                        <a:prstGeom prst="rect">
                          <a:avLst/>
                        </a:prstGeom>
                        <a:solidFill>
                          <a:srgbClr val="FFFFFF"/>
                        </a:solidFill>
                        <a:ln w="9525">
                          <a:solidFill>
                            <a:srgbClr val="000000"/>
                          </a:solidFill>
                          <a:miter lim="800000"/>
                          <a:headEnd/>
                          <a:tailEnd/>
                        </a:ln>
                      </wps:spPr>
                      <wps:txbx>
                        <w:txbxContent>
                          <w:p w:rsidR="00562E2E" w:rsidRPr="0040523A" w:rsidRDefault="00562E2E" w:rsidP="008E08BF">
                            <w:pPr>
                              <w:rPr>
                                <w:szCs w:val="20"/>
                              </w:rPr>
                            </w:pPr>
                            <w:r w:rsidRPr="0040523A">
                              <w:rPr>
                                <w:szCs w:val="20"/>
                                <w:highlight w:val="green"/>
                              </w:rPr>
                              <w:t>Agreements</w:t>
                            </w:r>
                            <w:r w:rsidRPr="0040523A">
                              <w:rPr>
                                <w:szCs w:val="20"/>
                              </w:rPr>
                              <w:t>:</w:t>
                            </w:r>
                          </w:p>
                          <w:p w:rsidR="00562E2E" w:rsidRPr="0040523A" w:rsidRDefault="00562E2E" w:rsidP="008E08BF">
                            <w:pPr>
                              <w:pStyle w:val="BodyText"/>
                              <w:numPr>
                                <w:ilvl w:val="0"/>
                                <w:numId w:val="41"/>
                              </w:numPr>
                              <w:rPr>
                                <w:szCs w:val="20"/>
                              </w:rPr>
                            </w:pPr>
                            <w:r w:rsidRPr="0040523A">
                              <w:rPr>
                                <w:szCs w:val="20"/>
                              </w:rPr>
                              <w:t>For both slot and mini-slot, the scheduling DCI can provide an index into a UE-specific table giving the OFDM symbols used for the PDSCH (or PUSCH) transmission</w:t>
                            </w:r>
                          </w:p>
                          <w:p w:rsidR="00562E2E" w:rsidRPr="0040523A" w:rsidRDefault="00562E2E" w:rsidP="008E08BF">
                            <w:pPr>
                              <w:pStyle w:val="BodyText"/>
                              <w:numPr>
                                <w:ilvl w:val="1"/>
                                <w:numId w:val="41"/>
                              </w:numPr>
                              <w:rPr>
                                <w:szCs w:val="20"/>
                              </w:rPr>
                            </w:pPr>
                            <w:r w:rsidRPr="0040523A">
                              <w:rPr>
                                <w:szCs w:val="20"/>
                              </w:rPr>
                              <w:t>starting OFDM symbol and length in OFDM symbols of the allocation</w:t>
                            </w:r>
                          </w:p>
                          <w:p w:rsidR="00562E2E" w:rsidRPr="0040523A" w:rsidRDefault="00562E2E" w:rsidP="008E08BF">
                            <w:pPr>
                              <w:pStyle w:val="BodyText"/>
                              <w:numPr>
                                <w:ilvl w:val="1"/>
                                <w:numId w:val="41"/>
                              </w:numPr>
                              <w:rPr>
                                <w:szCs w:val="20"/>
                              </w:rPr>
                            </w:pPr>
                            <w:r w:rsidRPr="0040523A">
                              <w:rPr>
                                <w:szCs w:val="20"/>
                              </w:rPr>
                              <w:t>FFS: one or more tables</w:t>
                            </w:r>
                          </w:p>
                          <w:p w:rsidR="00562E2E" w:rsidRPr="0040523A" w:rsidRDefault="00562E2E" w:rsidP="008E08BF">
                            <w:pPr>
                              <w:pStyle w:val="BodyText"/>
                              <w:numPr>
                                <w:ilvl w:val="1"/>
                                <w:numId w:val="41"/>
                              </w:numPr>
                              <w:rPr>
                                <w:szCs w:val="20"/>
                              </w:rPr>
                            </w:pPr>
                            <w:r w:rsidRPr="0040523A">
                              <w:rPr>
                                <w:szCs w:val="20"/>
                              </w:rPr>
                              <w:t>FFS: including the slots used in case of multi-slot/multi-mini-slot scheduling or slot index for cross-slot scheduling</w:t>
                            </w:r>
                          </w:p>
                          <w:p w:rsidR="00562E2E" w:rsidRPr="0040523A" w:rsidRDefault="00562E2E" w:rsidP="008E08BF">
                            <w:pPr>
                              <w:pStyle w:val="BodyText"/>
                              <w:numPr>
                                <w:ilvl w:val="1"/>
                                <w:numId w:val="41"/>
                              </w:numPr>
                              <w:rPr>
                                <w:szCs w:val="20"/>
                              </w:rPr>
                            </w:pPr>
                            <w:r w:rsidRPr="0040523A">
                              <w:rPr>
                                <w:szCs w:val="20"/>
                              </w:rPr>
                              <w:t>FFS: May need to revisit if SFI support non-contiguous allocations</w:t>
                            </w:r>
                          </w:p>
                          <w:p w:rsidR="00562E2E" w:rsidRPr="0040523A" w:rsidRDefault="00562E2E" w:rsidP="008E08BF">
                            <w:pPr>
                              <w:pStyle w:val="BodyText"/>
                              <w:numPr>
                                <w:ilvl w:val="0"/>
                                <w:numId w:val="41"/>
                              </w:numPr>
                              <w:rPr>
                                <w:szCs w:val="20"/>
                              </w:rPr>
                            </w:pPr>
                            <w:r w:rsidRPr="0040523A">
                              <w:rPr>
                                <w:szCs w:val="20"/>
                              </w:rPr>
                              <w:t>At least for RMSI scheduling</w:t>
                            </w:r>
                          </w:p>
                          <w:p w:rsidR="00562E2E" w:rsidRDefault="00562E2E" w:rsidP="008E08BF">
                            <w:pPr>
                              <w:pStyle w:val="BodyText"/>
                              <w:numPr>
                                <w:ilvl w:val="1"/>
                                <w:numId w:val="41"/>
                              </w:numPr>
                              <w:rPr>
                                <w:szCs w:val="20"/>
                              </w:rPr>
                            </w:pPr>
                            <w:r w:rsidRPr="0040523A">
                              <w:rPr>
                                <w:szCs w:val="20"/>
                              </w:rPr>
                              <w:t>At least one table entry needs to be fixed in the spec</w:t>
                            </w:r>
                          </w:p>
                          <w:p w:rsidR="00562E2E" w:rsidRDefault="00562E2E"/>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63.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">
                <v:textbox style="mso-fit-shape-to-text:t">
                  <w:txbxContent>
                    <w:p w:rsidR="00562E2E" w:rsidRPr="0040523A" w:rsidRDefault="00562E2E" w:rsidP="008E08BF">
                      <w:pPr>
                        <w:rPr>
                          <w:szCs w:val="20"/>
                        </w:rPr>
                      </w:pPr>
                      <w:r w:rsidRPr="0040523A">
                        <w:rPr>
                          <w:szCs w:val="20"/>
                          <w:highlight w:val="green"/>
                        </w:rPr>
                        <w:t>Agreements</w:t>
                      </w:r>
                      <w:r w:rsidRPr="0040523A">
                        <w:rPr>
                          <w:szCs w:val="20"/>
                        </w:rPr>
                        <w:t>:</w:t>
                      </w:r>
                    </w:p>
                    <w:p w:rsidR="00562E2E" w:rsidRPr="0040523A" w:rsidRDefault="00562E2E" w:rsidP="008E08BF">
                      <w:pPr>
                        <w:pStyle w:val="BodyText"/>
                        <w:numPr>
                          <w:ilvl w:val="0"/>
                          <w:numId w:val="41"/>
                        </w:numPr>
                        <w:rPr>
                          <w:szCs w:val="20"/>
                        </w:rPr>
                      </w:pPr>
                      <w:r w:rsidRPr="0040523A">
                        <w:rPr>
                          <w:szCs w:val="20"/>
                        </w:rPr>
                        <w:t>For both slot and mini-slot, the scheduling DCI can provide an index into a UE-specific table giving the OFDM symbols used for the PDSCH (or PUSCH) transmission</w:t>
                      </w:r>
                    </w:p>
                    <w:p w:rsidR="00562E2E" w:rsidRPr="0040523A" w:rsidRDefault="00562E2E" w:rsidP="008E08BF">
                      <w:pPr>
                        <w:pStyle w:val="BodyText"/>
                        <w:numPr>
                          <w:ilvl w:val="1"/>
                          <w:numId w:val="41"/>
                        </w:numPr>
                        <w:rPr>
                          <w:szCs w:val="20"/>
                        </w:rPr>
                      </w:pPr>
                      <w:r w:rsidRPr="0040523A">
                        <w:rPr>
                          <w:szCs w:val="20"/>
                        </w:rPr>
                        <w:t>starting OFDM symbol and length in OFDM symbols of the allocation</w:t>
                      </w:r>
                    </w:p>
                    <w:p w:rsidR="00562E2E" w:rsidRPr="0040523A" w:rsidRDefault="00562E2E" w:rsidP="008E08BF">
                      <w:pPr>
                        <w:pStyle w:val="BodyText"/>
                        <w:numPr>
                          <w:ilvl w:val="1"/>
                          <w:numId w:val="41"/>
                        </w:numPr>
                        <w:rPr>
                          <w:szCs w:val="20"/>
                        </w:rPr>
                      </w:pPr>
                      <w:r w:rsidRPr="0040523A">
                        <w:rPr>
                          <w:szCs w:val="20"/>
                        </w:rPr>
                        <w:t>FFS: one or more tables</w:t>
                      </w:r>
                    </w:p>
                    <w:p w:rsidR="00562E2E" w:rsidRPr="0040523A" w:rsidRDefault="00562E2E" w:rsidP="008E08BF">
                      <w:pPr>
                        <w:pStyle w:val="BodyText"/>
                        <w:numPr>
                          <w:ilvl w:val="1"/>
                          <w:numId w:val="41"/>
                        </w:numPr>
                        <w:rPr>
                          <w:szCs w:val="20"/>
                        </w:rPr>
                      </w:pPr>
                      <w:r w:rsidRPr="0040523A">
                        <w:rPr>
                          <w:szCs w:val="20"/>
                        </w:rPr>
                        <w:t>FFS: including the slots used in case of multi-slot/multi-mini-slot scheduling or slot index for cross-slot scheduling</w:t>
                      </w:r>
                    </w:p>
                    <w:p w:rsidR="00562E2E" w:rsidRPr="0040523A" w:rsidRDefault="00562E2E" w:rsidP="008E08BF">
                      <w:pPr>
                        <w:pStyle w:val="BodyText"/>
                        <w:numPr>
                          <w:ilvl w:val="1"/>
                          <w:numId w:val="41"/>
                        </w:numPr>
                        <w:rPr>
                          <w:szCs w:val="20"/>
                        </w:rPr>
                      </w:pPr>
                      <w:r w:rsidRPr="0040523A">
                        <w:rPr>
                          <w:szCs w:val="20"/>
                        </w:rPr>
                        <w:t>FFS: May need to revisit if SFI support non-contiguous allocations</w:t>
                      </w:r>
                    </w:p>
                    <w:p w:rsidR="00562E2E" w:rsidRPr="0040523A" w:rsidRDefault="00562E2E" w:rsidP="008E08BF">
                      <w:pPr>
                        <w:pStyle w:val="BodyText"/>
                        <w:numPr>
                          <w:ilvl w:val="0"/>
                          <w:numId w:val="41"/>
                        </w:numPr>
                        <w:rPr>
                          <w:szCs w:val="20"/>
                        </w:rPr>
                      </w:pPr>
                      <w:r w:rsidRPr="0040523A">
                        <w:rPr>
                          <w:szCs w:val="20"/>
                        </w:rPr>
                        <w:t>At least for RMSI scheduling</w:t>
                      </w:r>
                    </w:p>
                    <w:p w:rsidR="00562E2E" w:rsidRDefault="00562E2E" w:rsidP="008E08BF">
                      <w:pPr>
                        <w:pStyle w:val="BodyText"/>
                        <w:numPr>
                          <w:ilvl w:val="1"/>
                          <w:numId w:val="41"/>
                        </w:numPr>
                        <w:rPr>
                          <w:szCs w:val="20"/>
                        </w:rPr>
                      </w:pPr>
                      <w:r w:rsidRPr="0040523A">
                        <w:rPr>
                          <w:szCs w:val="20"/>
                        </w:rPr>
                        <w:t>At least one table entry needs to be fixed in the spec</w:t>
                      </w:r>
                    </w:p>
                    <w:p w:rsidR="00562E2E" w:rsidRDefault="00562E2E"/>
                  </w:txbxContent>
                </v:textbox>
                <w10:anchorlock/>
              </v:shape>
            </w:pict>
          </mc:Fallback>
        </mc:AlternateContent>
      </w:r>
    </w:p>
    <w:p w:rsidR="008E08BF" w:rsidRDefault="008E08BF" w:rsidP="005538D6">
      <w:pPr>
        <w:pStyle w:val="BodyText"/>
      </w:pPr>
    </w:p>
    <w:p w:rsidR="00FF5ECA" w:rsidRDefault="00FF5ECA" w:rsidP="00FF5ECA">
      <w:pPr>
        <w:pStyle w:val="BodyText"/>
      </w:pPr>
    </w:p>
    <w:p w:rsidR="004D6FED" w:rsidRDefault="004D6FED" w:rsidP="00FF5ECA">
      <w:pPr>
        <w:pStyle w:val="BodyText"/>
      </w:pPr>
      <w:r w:rsidRPr="004D6FED">
        <w:rPr>
          <w:highlight w:val="yellow"/>
        </w:rPr>
        <w:t>Offline agreement:</w:t>
      </w:r>
    </w:p>
    <w:p w:rsidR="009C6D22" w:rsidRDefault="009C6D22" w:rsidP="00FF5ECA">
      <w:pPr>
        <w:pStyle w:val="BodyText"/>
      </w:pPr>
      <w:r>
        <w:t>One table for UL, one table for DL configured by RRC</w:t>
      </w:r>
    </w:p>
    <w:p w:rsidR="004242C5" w:rsidRDefault="009C6D22" w:rsidP="00FF5ECA">
      <w:pPr>
        <w:pStyle w:val="BodyText"/>
      </w:pPr>
      <w:r>
        <w:t>In the</w:t>
      </w:r>
      <w:r w:rsidR="004242C5">
        <w:t xml:space="preserve"> table, each row </w:t>
      </w:r>
      <w:r>
        <w:t xml:space="preserve">is </w:t>
      </w:r>
      <w:r w:rsidR="004242C5">
        <w:t xml:space="preserve">configured by RRC with </w:t>
      </w:r>
    </w:p>
    <w:p w:rsidR="004242C5" w:rsidRDefault="004242C5" w:rsidP="004242C5">
      <w:pPr>
        <w:pStyle w:val="BodyText"/>
        <w:numPr>
          <w:ilvl w:val="0"/>
          <w:numId w:val="45"/>
        </w:numPr>
      </w:pPr>
      <w:r>
        <w:t xml:space="preserve">K0 </w:t>
      </w:r>
      <w:r w:rsidR="00DC084A">
        <w:t>using 2 bits</w:t>
      </w:r>
      <w:r w:rsidR="004D6FED">
        <w:t xml:space="preserve"> (for DL table), </w:t>
      </w:r>
      <w:r w:rsidR="00DC084A">
        <w:t xml:space="preserve"> </w:t>
      </w:r>
      <w:r>
        <w:t>K2</w:t>
      </w:r>
      <w:r w:rsidR="00DC084A">
        <w:t xml:space="preserve"> using 3 bits</w:t>
      </w:r>
      <w:r w:rsidR="004D6FED">
        <w:t xml:space="preserve"> (for UL table)</w:t>
      </w:r>
    </w:p>
    <w:p w:rsidR="004242C5" w:rsidRDefault="004242C5" w:rsidP="004242C5">
      <w:pPr>
        <w:pStyle w:val="BodyText"/>
        <w:numPr>
          <w:ilvl w:val="0"/>
          <w:numId w:val="45"/>
        </w:numPr>
      </w:pPr>
      <w:r>
        <w:t>a</w:t>
      </w:r>
      <w:r w:rsidR="004D6FED">
        <w:t>n</w:t>
      </w:r>
      <w:r>
        <w:t xml:space="preserve"> index into a table/equation in RAN1 specs capturing valid combinations of start and length (jointly encoded)</w:t>
      </w:r>
    </w:p>
    <w:p w:rsidR="007A717C" w:rsidRDefault="007A717C" w:rsidP="004242C5">
      <w:pPr>
        <w:pStyle w:val="BodyText"/>
        <w:numPr>
          <w:ilvl w:val="0"/>
          <w:numId w:val="45"/>
        </w:numPr>
      </w:pPr>
      <w:r>
        <w:t>PDSCH mapping type A or B</w:t>
      </w:r>
    </w:p>
    <w:p w:rsidR="007A717C" w:rsidRDefault="007A717C" w:rsidP="007A717C">
      <w:pPr>
        <w:pStyle w:val="BodyText"/>
      </w:pPr>
      <w:r>
        <w:t>The reference point for starting OFDM symbol is one of</w:t>
      </w:r>
      <w:r w:rsidR="004D6FED">
        <w:t xml:space="preserve"> (select one – no RRC impact)</w:t>
      </w:r>
    </w:p>
    <w:p w:rsidR="007A717C" w:rsidRDefault="007A717C" w:rsidP="007A717C">
      <w:pPr>
        <w:pStyle w:val="BodyText"/>
        <w:numPr>
          <w:ilvl w:val="0"/>
          <w:numId w:val="45"/>
        </w:numPr>
      </w:pPr>
      <w:r>
        <w:t>slot boundary</w:t>
      </w:r>
    </w:p>
    <w:p w:rsidR="007A717C" w:rsidRDefault="007A717C" w:rsidP="007A717C">
      <w:pPr>
        <w:pStyle w:val="BodyText"/>
        <w:numPr>
          <w:ilvl w:val="0"/>
          <w:numId w:val="45"/>
        </w:numPr>
      </w:pPr>
      <w:r>
        <w:t>start of CORESET where the PDCCH was found</w:t>
      </w:r>
    </w:p>
    <w:p w:rsidR="00D66F9D" w:rsidRDefault="004D6FED" w:rsidP="00FF5ECA">
      <w:pPr>
        <w:pStyle w:val="BodyText"/>
      </w:pPr>
      <w:r>
        <w:t xml:space="preserve">Note: </w:t>
      </w:r>
      <w:r w:rsidR="00D66F9D">
        <w:t>SFI table can be constructed in the same way as start/length</w:t>
      </w:r>
    </w:p>
    <w:p w:rsidR="004242C5" w:rsidRDefault="004242C5" w:rsidP="00FF5ECA">
      <w:pPr>
        <w:pStyle w:val="BodyText"/>
      </w:pPr>
      <w:r>
        <w:t>Number of aggregated slots semi-statically configured separately (i.e. not part of table)</w:t>
      </w:r>
      <w:r w:rsidR="00DC084A">
        <w:t>, compute OFDM symbol allocation as one of</w:t>
      </w:r>
      <w:r w:rsidR="004D6FED">
        <w:t xml:space="preserve"> (select one – no RRC impact)</w:t>
      </w:r>
    </w:p>
    <w:p w:rsidR="00DC084A" w:rsidRDefault="00DC084A" w:rsidP="00DC084A">
      <w:pPr>
        <w:pStyle w:val="BodyText"/>
        <w:numPr>
          <w:ilvl w:val="0"/>
          <w:numId w:val="45"/>
        </w:numPr>
      </w:pPr>
      <w:r>
        <w:t>same symbol allocation in each slot</w:t>
      </w:r>
    </w:p>
    <w:p w:rsidR="00DC084A" w:rsidRDefault="00DC084A" w:rsidP="00DC084A">
      <w:pPr>
        <w:pStyle w:val="BodyText"/>
        <w:numPr>
          <w:ilvl w:val="0"/>
          <w:numId w:val="45"/>
        </w:numPr>
      </w:pPr>
      <w:r>
        <w:t>contiguous allocation from start symbol in the first slot to the end symbol in the last slot</w:t>
      </w:r>
    </w:p>
    <w:p w:rsidR="004D6FED" w:rsidRDefault="004D6FED" w:rsidP="004D6FED">
      <w:pPr>
        <w:pStyle w:val="BodyText"/>
      </w:pPr>
    </w:p>
    <w:p w:rsidR="004D6FED" w:rsidRDefault="004D6FED" w:rsidP="004D6FED">
      <w:pPr>
        <w:pStyle w:val="BodyText"/>
      </w:pPr>
    </w:p>
    <w:p w:rsidR="0004324B" w:rsidRDefault="0004324B" w:rsidP="0004324B">
      <w:pPr>
        <w:pStyle w:val="Heading1"/>
      </w:pPr>
      <w:r>
        <w:t>VRB-to-PRB mapping</w:t>
      </w:r>
    </w:p>
    <w:p w:rsidR="0004324B" w:rsidRDefault="0004324B" w:rsidP="0004324B">
      <w:pPr>
        <w:pStyle w:val="BodyText"/>
      </w:pPr>
      <w:r>
        <w:t>For VRB-to-PRB mapping, the following has been agreed over e-mail:</w:t>
      </w:r>
    </w:p>
    <w:p w:rsidR="0004324B" w:rsidRPr="0004324B" w:rsidRDefault="0004324B" w:rsidP="0004324B">
      <w:pPr>
        <w:pStyle w:val="BodyText"/>
      </w:pPr>
      <w:r>
        <w:rPr>
          <w:noProof/>
        </w:rPr>
        <w:lastRenderedPageBreak/>
        <mc:AlternateContent>
          <mc:Choice Requires="wps">
            <w:drawing>
              <wp:inline distT="0" distB="0" distL="0" distR="0">
                <wp:extent cx="5595582" cy="1404620"/>
                <wp:effectExtent l="0" t="0" r="24765" b="12700"/>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95582" cy="1404620"/>
                        </a:xfrm>
                        <a:prstGeom prst="rect">
                          <a:avLst/>
                        </a:prstGeom>
                        <a:solidFill>
                          <a:srgbClr val="FFFFFF"/>
                        </a:solidFill>
                        <a:ln w="9525">
                          <a:solidFill>
                            <a:srgbClr val="000000"/>
                          </a:solidFill>
                          <a:miter lim="800000"/>
                          <a:headEnd/>
                          <a:tailEnd/>
                        </a:ln>
                      </wps:spPr>
                      <wps:txbx>
                        <w:txbxContent>
                          <w:p w:rsidR="00562E2E" w:rsidRDefault="00562E2E" w:rsidP="0004324B">
                            <w:pPr>
                              <w:rPr>
                                <w:rFonts w:ascii="Calibri" w:hAnsi="Calibri"/>
                                <w:szCs w:val="22"/>
                                <w:lang w:eastAsia="zh-CN"/>
                              </w:rPr>
                            </w:pPr>
                            <w:r>
                              <w:rPr>
                                <w:highlight w:val="green"/>
                                <w:lang w:eastAsia="zh-CN"/>
                              </w:rPr>
                              <w:t>Agreements</w:t>
                            </w:r>
                            <w:r>
                              <w:rPr>
                                <w:lang w:eastAsia="zh-CN"/>
                              </w:rPr>
                              <w:t xml:space="preserve"> (email):</w:t>
                            </w:r>
                          </w:p>
                          <w:p w:rsidR="00562E2E" w:rsidRDefault="00562E2E" w:rsidP="0004324B">
                            <w:pPr>
                              <w:numPr>
                                <w:ilvl w:val="0"/>
                                <w:numId w:val="43"/>
                              </w:numPr>
                              <w:rPr>
                                <w:lang w:eastAsia="zh-CN"/>
                              </w:rPr>
                            </w:pPr>
                            <w:r>
                              <w:rPr>
                                <w:lang w:eastAsia="zh-CN"/>
                              </w:rPr>
                              <w:t>The notion of VRB is included in the specifications.</w:t>
                            </w:r>
                          </w:p>
                          <w:p w:rsidR="00562E2E" w:rsidRDefault="00562E2E" w:rsidP="0004324B">
                            <w:pPr>
                              <w:numPr>
                                <w:ilvl w:val="0"/>
                                <w:numId w:val="43"/>
                              </w:numPr>
                              <w:rPr>
                                <w:lang w:eastAsia="zh-CN"/>
                              </w:rPr>
                            </w:pPr>
                            <w:r>
                              <w:rPr>
                                <w:lang w:eastAsia="zh-CN"/>
                              </w:rPr>
                              <w:t xml:space="preserve">A non-transparent VRB-to-PRB mapping (i.e. PRB_i=VRB_j where j=f(i)) is supported </w:t>
                            </w:r>
                          </w:p>
                          <w:p w:rsidR="00562E2E" w:rsidRDefault="00562E2E" w:rsidP="0004324B">
                            <w:pPr>
                              <w:numPr>
                                <w:ilvl w:val="1"/>
                                <w:numId w:val="43"/>
                              </w:numPr>
                              <w:rPr>
                                <w:lang w:eastAsia="zh-CN"/>
                              </w:rPr>
                            </w:pPr>
                            <w:r>
                              <w:rPr>
                                <w:lang w:eastAsia="zh-CN"/>
                              </w:rPr>
                              <w:t>At least for resource allocation type 1</w:t>
                            </w:r>
                          </w:p>
                          <w:p w:rsidR="00562E2E" w:rsidRDefault="00562E2E" w:rsidP="0004324B">
                            <w:pPr>
                              <w:numPr>
                                <w:ilvl w:val="1"/>
                                <w:numId w:val="43"/>
                              </w:numPr>
                              <w:rPr>
                                <w:lang w:eastAsia="zh-CN"/>
                              </w:rPr>
                            </w:pPr>
                            <w:r>
                              <w:rPr>
                                <w:lang w:eastAsia="zh-CN"/>
                              </w:rPr>
                              <w:t>Discuss further whether to support it also for resource allocation type 0</w:t>
                            </w:r>
                          </w:p>
                          <w:p w:rsidR="00562E2E" w:rsidRDefault="00562E2E" w:rsidP="0004324B">
                            <w:pPr>
                              <w:numPr>
                                <w:ilvl w:val="0"/>
                                <w:numId w:val="43"/>
                              </w:numPr>
                              <w:rPr>
                                <w:lang w:eastAsia="zh-CN"/>
                              </w:rPr>
                            </w:pPr>
                            <w:r>
                              <w:rPr>
                                <w:lang w:eastAsia="zh-CN"/>
                              </w:rPr>
                              <w:t xml:space="preserve">At least a block-interleaver is used for VRB-to-PRB mapping </w:t>
                            </w:r>
                          </w:p>
                          <w:p w:rsidR="00562E2E" w:rsidRDefault="00562E2E" w:rsidP="0004324B">
                            <w:pPr>
                              <w:numPr>
                                <w:ilvl w:val="1"/>
                                <w:numId w:val="43"/>
                              </w:numPr>
                              <w:rPr>
                                <w:lang w:eastAsia="zh-CN"/>
                              </w:rPr>
                            </w:pPr>
                            <w:r>
                              <w:rPr>
                                <w:lang w:eastAsia="zh-CN"/>
                              </w:rPr>
                              <w:t>FFS the details</w:t>
                            </w:r>
                          </w:p>
                          <w:p w:rsidR="00562E2E" w:rsidRDefault="00562E2E" w:rsidP="0004324B">
                            <w:pPr>
                              <w:numPr>
                                <w:ilvl w:val="0"/>
                                <w:numId w:val="43"/>
                              </w:numPr>
                              <w:pBdr>
                                <w:bottom w:val="single" w:sz="6" w:space="1" w:color="auto"/>
                              </w:pBdr>
                              <w:rPr>
                                <w:lang w:eastAsia="zh-CN"/>
                              </w:rPr>
                            </w:pPr>
                            <w:r>
                              <w:rPr>
                                <w:lang w:eastAsia="zh-CN"/>
                              </w:rPr>
                              <w:t>A single bit in the DCI indicates localized or distributed VRB-to-PRB mapping.</w:t>
                            </w:r>
                          </w:p>
                          <w:p w:rsidR="00562E2E" w:rsidRDefault="00562E2E"/>
                        </w:txbxContent>
                      </wps:txbx>
                      <wps:bodyPr rot="0" vert="horz" wrap="square" lIns="91440" tIns="45720" rIns="91440" bIns="45720" anchor="t" anchorCtr="0">
                        <a:spAutoFit/>
                      </wps:bodyPr>
                    </wps:wsp>
                  </a:graphicData>
                </a:graphic>
              </wp:inline>
            </w:drawing>
          </mc:Choice>
          <mc:Fallback>
            <w:pict>
              <v:shape id="_x0000_s1027" type="#_x0000_t202" style="width:440.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">
                <v:textbox style="mso-fit-shape-to-text:t">
                  <w:txbxContent>
                    <w:p w:rsidR="00562E2E" w:rsidRDefault="00562E2E" w:rsidP="0004324B">
                      <w:pPr>
                        <w:rPr>
                          <w:rFonts w:ascii="Calibri" w:hAnsi="Calibri"/>
                          <w:szCs w:val="22"/>
                          <w:lang w:eastAsia="zh-CN"/>
                        </w:rPr>
                      </w:pPr>
                      <w:r>
                        <w:rPr>
                          <w:highlight w:val="green"/>
                          <w:lang w:eastAsia="zh-CN"/>
                        </w:rPr>
                        <w:t>Agreements</w:t>
                      </w:r>
                      <w:r>
                        <w:rPr>
                          <w:lang w:eastAsia="zh-CN"/>
                        </w:rPr>
                        <w:t xml:space="preserve"> (email):</w:t>
                      </w:r>
                    </w:p>
                    <w:p w:rsidR="00562E2E" w:rsidRDefault="00562E2E" w:rsidP="0004324B">
                      <w:pPr>
                        <w:numPr>
                          <w:ilvl w:val="0"/>
                          <w:numId w:val="43"/>
                        </w:numPr>
                        <w:rPr>
                          <w:lang w:eastAsia="zh-CN"/>
                        </w:rPr>
                      </w:pPr>
                      <w:r>
                        <w:rPr>
                          <w:lang w:eastAsia="zh-CN"/>
                        </w:rPr>
                        <w:t>The notion of VRB is included in the specifications.</w:t>
                      </w:r>
                    </w:p>
                    <w:p w:rsidR="00562E2E" w:rsidRDefault="00562E2E" w:rsidP="0004324B">
                      <w:pPr>
                        <w:numPr>
                          <w:ilvl w:val="0"/>
                          <w:numId w:val="43"/>
                        </w:numPr>
                        <w:rPr>
                          <w:lang w:eastAsia="zh-CN"/>
                        </w:rPr>
                      </w:pPr>
                      <w:r>
                        <w:rPr>
                          <w:lang w:eastAsia="zh-CN"/>
                        </w:rPr>
                        <w:t xml:space="preserve">A non-transparent VRB-to-PRB mapping (i.e. PRB_i=VRB_j where j=f(i)) is supported </w:t>
                      </w:r>
                    </w:p>
                    <w:p w:rsidR="00562E2E" w:rsidRDefault="00562E2E" w:rsidP="0004324B">
                      <w:pPr>
                        <w:numPr>
                          <w:ilvl w:val="1"/>
                          <w:numId w:val="43"/>
                        </w:numPr>
                        <w:rPr>
                          <w:lang w:eastAsia="zh-CN"/>
                        </w:rPr>
                      </w:pPr>
                      <w:r>
                        <w:rPr>
                          <w:lang w:eastAsia="zh-CN"/>
                        </w:rPr>
                        <w:t>At least for resource allocation type 1</w:t>
                      </w:r>
                    </w:p>
                    <w:p w:rsidR="00562E2E" w:rsidRDefault="00562E2E" w:rsidP="0004324B">
                      <w:pPr>
                        <w:numPr>
                          <w:ilvl w:val="1"/>
                          <w:numId w:val="43"/>
                        </w:numPr>
                        <w:rPr>
                          <w:lang w:eastAsia="zh-CN"/>
                        </w:rPr>
                      </w:pPr>
                      <w:r>
                        <w:rPr>
                          <w:lang w:eastAsia="zh-CN"/>
                        </w:rPr>
                        <w:t>Discuss further whether to support it also for resource allocation type 0</w:t>
                      </w:r>
                    </w:p>
                    <w:p w:rsidR="00562E2E" w:rsidRDefault="00562E2E" w:rsidP="0004324B">
                      <w:pPr>
                        <w:numPr>
                          <w:ilvl w:val="0"/>
                          <w:numId w:val="43"/>
                        </w:numPr>
                        <w:rPr>
                          <w:lang w:eastAsia="zh-CN"/>
                        </w:rPr>
                      </w:pPr>
                      <w:r>
                        <w:rPr>
                          <w:lang w:eastAsia="zh-CN"/>
                        </w:rPr>
                        <w:t xml:space="preserve">At least a block-interleaver is used for VRB-to-PRB mapping </w:t>
                      </w:r>
                    </w:p>
                    <w:p w:rsidR="00562E2E" w:rsidRDefault="00562E2E" w:rsidP="0004324B">
                      <w:pPr>
                        <w:numPr>
                          <w:ilvl w:val="1"/>
                          <w:numId w:val="43"/>
                        </w:numPr>
                        <w:rPr>
                          <w:lang w:eastAsia="zh-CN"/>
                        </w:rPr>
                      </w:pPr>
                      <w:r>
                        <w:rPr>
                          <w:lang w:eastAsia="zh-CN"/>
                        </w:rPr>
                        <w:t>FFS the details</w:t>
                      </w:r>
                    </w:p>
                    <w:p w:rsidR="00562E2E" w:rsidRDefault="00562E2E" w:rsidP="0004324B">
                      <w:pPr>
                        <w:numPr>
                          <w:ilvl w:val="0"/>
                          <w:numId w:val="43"/>
                        </w:numPr>
                        <w:pBdr>
                          <w:bottom w:val="single" w:sz="6" w:space="1" w:color="auto"/>
                        </w:pBdr>
                        <w:rPr>
                          <w:lang w:eastAsia="zh-CN"/>
                        </w:rPr>
                      </w:pPr>
                      <w:r>
                        <w:rPr>
                          <w:lang w:eastAsia="zh-CN"/>
                        </w:rPr>
                        <w:t>A single bit in the DCI indicates localized or distributed VRB-to-PRB mapping.</w:t>
                      </w:r>
                    </w:p>
                    <w:p w:rsidR="00562E2E" w:rsidRDefault="00562E2E"/>
                  </w:txbxContent>
                </v:textbox>
                <w10:anchorlock/>
              </v:shape>
            </w:pict>
          </mc:Fallback>
        </mc:AlternateContent>
      </w:r>
    </w:p>
    <w:p w:rsidR="004D6FED" w:rsidRDefault="004D6FED" w:rsidP="0004324B">
      <w:pPr>
        <w:pStyle w:val="BodyText"/>
      </w:pPr>
    </w:p>
    <w:p w:rsidR="004D6FED" w:rsidRDefault="004D6FED" w:rsidP="004D6FED">
      <w:pPr>
        <w:pStyle w:val="BodyText"/>
      </w:pPr>
      <w:r w:rsidRPr="004D6FED">
        <w:rPr>
          <w:highlight w:val="yellow"/>
        </w:rPr>
        <w:t>Offline agreement:</w:t>
      </w:r>
    </w:p>
    <w:p w:rsidR="0004324B" w:rsidRDefault="009344C6" w:rsidP="0004324B">
      <w:pPr>
        <w:pStyle w:val="BodyText"/>
      </w:pPr>
      <w:r>
        <w:t>For downlink and OFDM uplink:</w:t>
      </w:r>
    </w:p>
    <w:p w:rsidR="009C6D22" w:rsidRDefault="009C6D22" w:rsidP="0004324B">
      <w:pPr>
        <w:pStyle w:val="BodyText"/>
      </w:pPr>
      <w:r>
        <w:t>Block interleaver (similar to PDCCH) across whole BWP</w:t>
      </w:r>
      <w:r w:rsidR="004D6FED">
        <w:t>, select one of</w:t>
      </w:r>
      <w:bookmarkStart w:id="3" w:name="_GoBack"/>
      <w:bookmarkEnd w:id="3"/>
    </w:p>
    <w:p w:rsidR="002C39A0" w:rsidRDefault="009C6D22" w:rsidP="002C39A0">
      <w:pPr>
        <w:pStyle w:val="BodyText"/>
        <w:numPr>
          <w:ilvl w:val="0"/>
          <w:numId w:val="45"/>
        </w:numPr>
      </w:pPr>
      <w:r>
        <w:t>interleaving unit</w:t>
      </w:r>
      <w:r w:rsidR="002C39A0">
        <w:t xml:space="preserve"> hard-coded to 4 RB (largest PRG size), interleaving size</w:t>
      </w:r>
      <w:r w:rsidR="002C39A0" w:rsidRPr="002C39A0">
        <w:t xml:space="preserve"> </w:t>
      </w:r>
      <w:r w:rsidR="002C39A0">
        <w:t>hard-coded to X rows</w:t>
      </w:r>
    </w:p>
    <w:p w:rsidR="002C39A0" w:rsidRDefault="002C39A0" w:rsidP="002C39A0">
      <w:pPr>
        <w:pStyle w:val="BodyText"/>
        <w:numPr>
          <w:ilvl w:val="0"/>
          <w:numId w:val="45"/>
        </w:numPr>
      </w:pPr>
      <w:r>
        <w:t>interleaving unit RRC configurable, 2 or 4, interleaving size</w:t>
      </w:r>
      <w:r w:rsidRPr="002C39A0">
        <w:t xml:space="preserve"> </w:t>
      </w:r>
      <w:r>
        <w:t>hard-coded to 2 rows</w:t>
      </w:r>
    </w:p>
    <w:p w:rsidR="002C39A0" w:rsidRDefault="002C39A0" w:rsidP="002C39A0">
      <w:pPr>
        <w:pStyle w:val="BodyText"/>
        <w:numPr>
          <w:ilvl w:val="0"/>
          <w:numId w:val="45"/>
        </w:numPr>
      </w:pPr>
      <w:r>
        <w:t>interleaving unit RRC configurable, 2 or 4, interleaving size RRC configurable number of rows</w:t>
      </w:r>
    </w:p>
    <w:p w:rsidR="009C6D22" w:rsidRDefault="009344C6" w:rsidP="0004324B">
      <w:pPr>
        <w:pStyle w:val="BodyText"/>
      </w:pPr>
      <w:r>
        <w:t>The number of columns is given by the BWP size and number of rows</w:t>
      </w:r>
    </w:p>
    <w:p w:rsidR="009C6D22" w:rsidRDefault="009344C6" w:rsidP="0004324B">
      <w:pPr>
        <w:pStyle w:val="BodyText"/>
      </w:pPr>
      <w:r>
        <w:t>Open issue (no RRC impact): Layer-dependent cyclic shift for multi-layer transmission?</w:t>
      </w:r>
    </w:p>
    <w:sectPr w:rsidR="009C6D22"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20D7" w:rsidRDefault="006120D7" w:rsidP="00896408">
      <w:r>
        <w:separator/>
      </w:r>
    </w:p>
  </w:endnote>
  <w:endnote w:type="continuationSeparator" w:id="0">
    <w:p w:rsidR="006120D7" w:rsidRDefault="006120D7"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20D7" w:rsidRDefault="006120D7" w:rsidP="00896408">
      <w:r>
        <w:separator/>
      </w:r>
    </w:p>
  </w:footnote>
  <w:footnote w:type="continuationSeparator" w:id="0">
    <w:p w:rsidR="006120D7" w:rsidRDefault="006120D7" w:rsidP="008964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D476E"/>
    <w:multiLevelType w:val="hybridMultilevel"/>
    <w:tmpl w:val="1C508C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6330C9F"/>
    <w:multiLevelType w:val="hybridMultilevel"/>
    <w:tmpl w:val="EC94A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CD387F"/>
    <w:multiLevelType w:val="hybridMultilevel"/>
    <w:tmpl w:val="408A6B06"/>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7B29AF"/>
    <w:multiLevelType w:val="hybridMultilevel"/>
    <w:tmpl w:val="AA7AB1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3177C61"/>
    <w:multiLevelType w:val="hybridMultilevel"/>
    <w:tmpl w:val="D5943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423244F"/>
    <w:multiLevelType w:val="hybridMultilevel"/>
    <w:tmpl w:val="6702284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1E3334C"/>
    <w:multiLevelType w:val="hybridMultilevel"/>
    <w:tmpl w:val="3160920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3942EA6"/>
    <w:multiLevelType w:val="hybridMultilevel"/>
    <w:tmpl w:val="8D9E8AF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CB00FA5"/>
    <w:multiLevelType w:val="hybridMultilevel"/>
    <w:tmpl w:val="7C6A96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7267ADE"/>
    <w:multiLevelType w:val="hybridMultilevel"/>
    <w:tmpl w:val="E13658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77E17A1"/>
    <w:multiLevelType w:val="hybridMultilevel"/>
    <w:tmpl w:val="A0B825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7805FFD"/>
    <w:multiLevelType w:val="hybridMultilevel"/>
    <w:tmpl w:val="6332F5D8"/>
    <w:lvl w:ilvl="0" w:tplc="0409000F">
      <w:start w:val="1"/>
      <w:numFmt w:val="decimal"/>
      <w:lvlText w:val="%1."/>
      <w:lvlJc w:val="left"/>
      <w:pPr>
        <w:ind w:left="1288" w:hanging="360"/>
      </w:p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4" w15:restartNumberingAfterBreak="0">
    <w:nsid w:val="38D46B79"/>
    <w:multiLevelType w:val="hybridMultilevel"/>
    <w:tmpl w:val="1FD8F3A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9F34C1A"/>
    <w:multiLevelType w:val="hybridMultilevel"/>
    <w:tmpl w:val="027492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A1D17BA"/>
    <w:multiLevelType w:val="multilevel"/>
    <w:tmpl w:val="C2E45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CC3516C"/>
    <w:multiLevelType w:val="hybridMultilevel"/>
    <w:tmpl w:val="435455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DA65B0B"/>
    <w:multiLevelType w:val="hybridMultilevel"/>
    <w:tmpl w:val="9162D520"/>
    <w:lvl w:ilvl="0" w:tplc="B1E6485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715319"/>
    <w:multiLevelType w:val="hybridMultilevel"/>
    <w:tmpl w:val="625E2D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6225BA4"/>
    <w:multiLevelType w:val="hybridMultilevel"/>
    <w:tmpl w:val="6B94713C"/>
    <w:lvl w:ilvl="0" w:tplc="04090001">
      <w:start w:val="1"/>
      <w:numFmt w:val="bullet"/>
      <w:lvlText w:val=""/>
      <w:lvlJc w:val="left"/>
      <w:pPr>
        <w:ind w:left="108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7595960"/>
    <w:multiLevelType w:val="hybridMultilevel"/>
    <w:tmpl w:val="5C3846C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 w15:restartNumberingAfterBreak="0">
    <w:nsid w:val="52DF03D9"/>
    <w:multiLevelType w:val="hybridMultilevel"/>
    <w:tmpl w:val="2E0AAAE2"/>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3" w15:restartNumberingAfterBreak="0">
    <w:nsid w:val="536B672D"/>
    <w:multiLevelType w:val="hybridMultilevel"/>
    <w:tmpl w:val="0CA0A1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3C16D28"/>
    <w:multiLevelType w:val="hybridMultilevel"/>
    <w:tmpl w:val="4CB2B0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46321C2"/>
    <w:multiLevelType w:val="hybridMultilevel"/>
    <w:tmpl w:val="BBEA8346"/>
    <w:lvl w:ilvl="0" w:tplc="61BCFF0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851DFB"/>
    <w:multiLevelType w:val="hybridMultilevel"/>
    <w:tmpl w:val="B218CF2E"/>
    <w:lvl w:ilvl="0" w:tplc="9F3E7AF8">
      <w:numFmt w:val="bullet"/>
      <w:lvlText w:val="-"/>
      <w:lvlJc w:val="left"/>
      <w:pPr>
        <w:ind w:left="765" w:hanging="360"/>
      </w:pPr>
      <w:rPr>
        <w:rFonts w:ascii="Times New Roman" w:eastAsia="SimSu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7"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DF4224C"/>
    <w:multiLevelType w:val="hybridMultilevel"/>
    <w:tmpl w:val="E960AFA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39B059F"/>
    <w:multiLevelType w:val="hybridMultilevel"/>
    <w:tmpl w:val="B7A00B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7987E81"/>
    <w:multiLevelType w:val="hybridMultilevel"/>
    <w:tmpl w:val="F868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B432BE7"/>
    <w:multiLevelType w:val="hybridMultilevel"/>
    <w:tmpl w:val="CFFA4586"/>
    <w:lvl w:ilvl="0" w:tplc="75A6C4FE">
      <w:numFmt w:val="bullet"/>
      <w:lvlText w:val="-"/>
      <w:lvlJc w:val="left"/>
      <w:pPr>
        <w:ind w:left="480" w:hanging="48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75016E4E"/>
    <w:multiLevelType w:val="hybridMultilevel"/>
    <w:tmpl w:val="FAEE428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6474433"/>
    <w:multiLevelType w:val="hybridMultilevel"/>
    <w:tmpl w:val="9D7E74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7595BD4"/>
    <w:multiLevelType w:val="hybridMultilevel"/>
    <w:tmpl w:val="4E6297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7D44F70"/>
    <w:multiLevelType w:val="hybridMultilevel"/>
    <w:tmpl w:val="A06825BC"/>
    <w:lvl w:ilvl="0" w:tplc="248EB03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9B7E2C"/>
    <w:multiLevelType w:val="hybridMultilevel"/>
    <w:tmpl w:val="754C459C"/>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BED18BC"/>
    <w:multiLevelType w:val="multilevel"/>
    <w:tmpl w:val="5F16573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8" w15:restartNumberingAfterBreak="0">
    <w:nsid w:val="7C9B2080"/>
    <w:multiLevelType w:val="hybridMultilevel"/>
    <w:tmpl w:val="095664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7"/>
  </w:num>
  <w:num w:numId="2">
    <w:abstractNumId w:val="25"/>
  </w:num>
  <w:num w:numId="3">
    <w:abstractNumId w:val="22"/>
  </w:num>
  <w:num w:numId="4">
    <w:abstractNumId w:val="1"/>
  </w:num>
  <w:num w:numId="5">
    <w:abstractNumId w:val="13"/>
  </w:num>
  <w:num w:numId="6">
    <w:abstractNumId w:val="26"/>
  </w:num>
  <w:num w:numId="7">
    <w:abstractNumId w:val="35"/>
  </w:num>
  <w:num w:numId="8">
    <w:abstractNumId w:val="21"/>
  </w:num>
  <w:num w:numId="9">
    <w:abstractNumId w:val="4"/>
  </w:num>
  <w:num w:numId="10">
    <w:abstractNumId w:val="14"/>
  </w:num>
  <w:num w:numId="11">
    <w:abstractNumId w:val="17"/>
  </w:num>
  <w:num w:numId="12">
    <w:abstractNumId w:val="31"/>
  </w:num>
  <w:num w:numId="13">
    <w:abstractNumId w:val="9"/>
  </w:num>
  <w:num w:numId="14">
    <w:abstractNumId w:val="28"/>
  </w:num>
  <w:num w:numId="15">
    <w:abstractNumId w:val="5"/>
  </w:num>
  <w:num w:numId="16">
    <w:abstractNumId w:val="3"/>
  </w:num>
  <w:num w:numId="17">
    <w:abstractNumId w:val="6"/>
  </w:num>
  <w:num w:numId="18">
    <w:abstractNumId w:val="12"/>
  </w:num>
  <w:num w:numId="19">
    <w:abstractNumId w:val="10"/>
  </w:num>
  <w:num w:numId="20">
    <w:abstractNumId w:val="15"/>
  </w:num>
  <w:num w:numId="21">
    <w:abstractNumId w:val="20"/>
  </w:num>
  <w:num w:numId="22">
    <w:abstractNumId w:val="38"/>
  </w:num>
  <w:num w:numId="23">
    <w:abstractNumId w:val="37"/>
  </w:num>
  <w:num w:numId="24">
    <w:abstractNumId w:val="8"/>
  </w:num>
  <w:num w:numId="25">
    <w:abstractNumId w:val="0"/>
  </w:num>
  <w:num w:numId="26">
    <w:abstractNumId w:val="37"/>
  </w:num>
  <w:num w:numId="27">
    <w:abstractNumId w:val="33"/>
  </w:num>
  <w:num w:numId="28">
    <w:abstractNumId w:val="37"/>
  </w:num>
  <w:num w:numId="29">
    <w:abstractNumId w:val="29"/>
  </w:num>
  <w:num w:numId="30">
    <w:abstractNumId w:val="37"/>
  </w:num>
  <w:num w:numId="31">
    <w:abstractNumId w:val="2"/>
  </w:num>
  <w:num w:numId="32">
    <w:abstractNumId w:val="37"/>
  </w:num>
  <w:num w:numId="33">
    <w:abstractNumId w:val="37"/>
  </w:num>
  <w:num w:numId="34">
    <w:abstractNumId w:val="23"/>
  </w:num>
  <w:num w:numId="35">
    <w:abstractNumId w:val="32"/>
  </w:num>
  <w:num w:numId="36">
    <w:abstractNumId w:val="34"/>
  </w:num>
  <w:num w:numId="37">
    <w:abstractNumId w:val="19"/>
  </w:num>
  <w:num w:numId="38">
    <w:abstractNumId w:val="11"/>
  </w:num>
  <w:num w:numId="39">
    <w:abstractNumId w:val="7"/>
  </w:num>
  <w:num w:numId="40">
    <w:abstractNumId w:val="24"/>
  </w:num>
  <w:num w:numId="41">
    <w:abstractNumId w:val="27"/>
  </w:num>
  <w:num w:numId="42">
    <w:abstractNumId w:val="36"/>
  </w:num>
  <w:num w:numId="43">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num>
  <w:num w:numId="45">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03661"/>
    <w:rsid w:val="0000617F"/>
    <w:rsid w:val="00013A55"/>
    <w:rsid w:val="00013C3A"/>
    <w:rsid w:val="000208D5"/>
    <w:rsid w:val="00020EC0"/>
    <w:rsid w:val="00021435"/>
    <w:rsid w:val="00023E55"/>
    <w:rsid w:val="00024F13"/>
    <w:rsid w:val="0004324B"/>
    <w:rsid w:val="0006632E"/>
    <w:rsid w:val="000A493B"/>
    <w:rsid w:val="000C5F12"/>
    <w:rsid w:val="000D3133"/>
    <w:rsid w:val="000F0698"/>
    <w:rsid w:val="00106665"/>
    <w:rsid w:val="001372E8"/>
    <w:rsid w:val="001406C4"/>
    <w:rsid w:val="00172B21"/>
    <w:rsid w:val="001A530D"/>
    <w:rsid w:val="001B64CA"/>
    <w:rsid w:val="001C4191"/>
    <w:rsid w:val="001E2FED"/>
    <w:rsid w:val="001E5AFE"/>
    <w:rsid w:val="002060B9"/>
    <w:rsid w:val="002374D6"/>
    <w:rsid w:val="002553B4"/>
    <w:rsid w:val="00262FC3"/>
    <w:rsid w:val="0028065B"/>
    <w:rsid w:val="0028423D"/>
    <w:rsid w:val="00286B6D"/>
    <w:rsid w:val="0029521F"/>
    <w:rsid w:val="002B0DDD"/>
    <w:rsid w:val="002B59EF"/>
    <w:rsid w:val="002C39A0"/>
    <w:rsid w:val="002D263D"/>
    <w:rsid w:val="002E3C32"/>
    <w:rsid w:val="0033205D"/>
    <w:rsid w:val="00341942"/>
    <w:rsid w:val="00341F43"/>
    <w:rsid w:val="00343C26"/>
    <w:rsid w:val="0034475B"/>
    <w:rsid w:val="00365BA9"/>
    <w:rsid w:val="00365CE4"/>
    <w:rsid w:val="0037183E"/>
    <w:rsid w:val="003922EE"/>
    <w:rsid w:val="00393FEA"/>
    <w:rsid w:val="003B5C12"/>
    <w:rsid w:val="003E25B9"/>
    <w:rsid w:val="003F1A00"/>
    <w:rsid w:val="00411E33"/>
    <w:rsid w:val="00416DEC"/>
    <w:rsid w:val="004242C5"/>
    <w:rsid w:val="0046740A"/>
    <w:rsid w:val="0048093F"/>
    <w:rsid w:val="00483C16"/>
    <w:rsid w:val="00483D04"/>
    <w:rsid w:val="004900B0"/>
    <w:rsid w:val="004B4109"/>
    <w:rsid w:val="004C672E"/>
    <w:rsid w:val="004D6FED"/>
    <w:rsid w:val="004D7FE0"/>
    <w:rsid w:val="004F430F"/>
    <w:rsid w:val="00500D11"/>
    <w:rsid w:val="00504A5D"/>
    <w:rsid w:val="005053EA"/>
    <w:rsid w:val="00506350"/>
    <w:rsid w:val="00510D00"/>
    <w:rsid w:val="00511208"/>
    <w:rsid w:val="005164F1"/>
    <w:rsid w:val="0052140E"/>
    <w:rsid w:val="00523EEF"/>
    <w:rsid w:val="0053186E"/>
    <w:rsid w:val="00544261"/>
    <w:rsid w:val="005514B5"/>
    <w:rsid w:val="005538D6"/>
    <w:rsid w:val="00562E2E"/>
    <w:rsid w:val="00583465"/>
    <w:rsid w:val="005838EA"/>
    <w:rsid w:val="00585773"/>
    <w:rsid w:val="005C77FC"/>
    <w:rsid w:val="005D04D6"/>
    <w:rsid w:val="005D2329"/>
    <w:rsid w:val="00607CF7"/>
    <w:rsid w:val="00611EAE"/>
    <w:rsid w:val="006120D7"/>
    <w:rsid w:val="00614513"/>
    <w:rsid w:val="006214E0"/>
    <w:rsid w:val="0063517D"/>
    <w:rsid w:val="00637F1A"/>
    <w:rsid w:val="006617D2"/>
    <w:rsid w:val="00666BD1"/>
    <w:rsid w:val="006722D2"/>
    <w:rsid w:val="0068782F"/>
    <w:rsid w:val="0069445A"/>
    <w:rsid w:val="006A286A"/>
    <w:rsid w:val="006B21CA"/>
    <w:rsid w:val="006B791A"/>
    <w:rsid w:val="006C7AB7"/>
    <w:rsid w:val="006F5F5F"/>
    <w:rsid w:val="00737C08"/>
    <w:rsid w:val="00765408"/>
    <w:rsid w:val="0076676D"/>
    <w:rsid w:val="00772EB4"/>
    <w:rsid w:val="0078136E"/>
    <w:rsid w:val="00785910"/>
    <w:rsid w:val="007A717C"/>
    <w:rsid w:val="007C690E"/>
    <w:rsid w:val="007E7190"/>
    <w:rsid w:val="007F5DBD"/>
    <w:rsid w:val="00802FBE"/>
    <w:rsid w:val="00803288"/>
    <w:rsid w:val="00816181"/>
    <w:rsid w:val="00850100"/>
    <w:rsid w:val="00857E6D"/>
    <w:rsid w:val="00860E63"/>
    <w:rsid w:val="00896408"/>
    <w:rsid w:val="00896439"/>
    <w:rsid w:val="008A0342"/>
    <w:rsid w:val="008D0E47"/>
    <w:rsid w:val="008E08BF"/>
    <w:rsid w:val="00900A98"/>
    <w:rsid w:val="00915AE7"/>
    <w:rsid w:val="00931200"/>
    <w:rsid w:val="009344C6"/>
    <w:rsid w:val="00942F98"/>
    <w:rsid w:val="00945406"/>
    <w:rsid w:val="00947B38"/>
    <w:rsid w:val="00950E21"/>
    <w:rsid w:val="00956DC0"/>
    <w:rsid w:val="009770FF"/>
    <w:rsid w:val="009A0611"/>
    <w:rsid w:val="009C6D22"/>
    <w:rsid w:val="009D74FB"/>
    <w:rsid w:val="009E46CD"/>
    <w:rsid w:val="009F7D8C"/>
    <w:rsid w:val="00A00802"/>
    <w:rsid w:val="00A01AE6"/>
    <w:rsid w:val="00A42CFD"/>
    <w:rsid w:val="00A60ED5"/>
    <w:rsid w:val="00A6549D"/>
    <w:rsid w:val="00AB5904"/>
    <w:rsid w:val="00AC5D2E"/>
    <w:rsid w:val="00AC643E"/>
    <w:rsid w:val="00AC6C5E"/>
    <w:rsid w:val="00B03ED8"/>
    <w:rsid w:val="00B12D81"/>
    <w:rsid w:val="00B1604D"/>
    <w:rsid w:val="00B368D9"/>
    <w:rsid w:val="00B5007A"/>
    <w:rsid w:val="00B65EE6"/>
    <w:rsid w:val="00B715F8"/>
    <w:rsid w:val="00BB1E11"/>
    <w:rsid w:val="00BB2430"/>
    <w:rsid w:val="00BB3188"/>
    <w:rsid w:val="00BB7B54"/>
    <w:rsid w:val="00BE4063"/>
    <w:rsid w:val="00C1560A"/>
    <w:rsid w:val="00C20AD3"/>
    <w:rsid w:val="00C22FAF"/>
    <w:rsid w:val="00C60FA1"/>
    <w:rsid w:val="00C62894"/>
    <w:rsid w:val="00C8496C"/>
    <w:rsid w:val="00C96B53"/>
    <w:rsid w:val="00CA53BF"/>
    <w:rsid w:val="00CB51BD"/>
    <w:rsid w:val="00CB5A40"/>
    <w:rsid w:val="00CC1CA7"/>
    <w:rsid w:val="00CD0539"/>
    <w:rsid w:val="00CD1737"/>
    <w:rsid w:val="00CE6CB0"/>
    <w:rsid w:val="00CE7B9C"/>
    <w:rsid w:val="00CF7AFA"/>
    <w:rsid w:val="00D03072"/>
    <w:rsid w:val="00D2653D"/>
    <w:rsid w:val="00D43FB1"/>
    <w:rsid w:val="00D44A43"/>
    <w:rsid w:val="00D52043"/>
    <w:rsid w:val="00D577BB"/>
    <w:rsid w:val="00D57BEB"/>
    <w:rsid w:val="00D66F9D"/>
    <w:rsid w:val="00D900AE"/>
    <w:rsid w:val="00D92AB5"/>
    <w:rsid w:val="00DB4CD3"/>
    <w:rsid w:val="00DB6ED2"/>
    <w:rsid w:val="00DC084A"/>
    <w:rsid w:val="00DC4DF2"/>
    <w:rsid w:val="00DD11CB"/>
    <w:rsid w:val="00DD6704"/>
    <w:rsid w:val="00DE0C0A"/>
    <w:rsid w:val="00DE1BAA"/>
    <w:rsid w:val="00DF03C6"/>
    <w:rsid w:val="00E10C1F"/>
    <w:rsid w:val="00E20E32"/>
    <w:rsid w:val="00E2157C"/>
    <w:rsid w:val="00E25B87"/>
    <w:rsid w:val="00E30C81"/>
    <w:rsid w:val="00E33BAF"/>
    <w:rsid w:val="00E34104"/>
    <w:rsid w:val="00E55D5E"/>
    <w:rsid w:val="00E6425C"/>
    <w:rsid w:val="00E73C4A"/>
    <w:rsid w:val="00EB26FB"/>
    <w:rsid w:val="00EC2F3D"/>
    <w:rsid w:val="00EE2EAD"/>
    <w:rsid w:val="00F061D6"/>
    <w:rsid w:val="00F12D12"/>
    <w:rsid w:val="00F346B4"/>
    <w:rsid w:val="00F57D30"/>
    <w:rsid w:val="00F618ED"/>
    <w:rsid w:val="00F6546D"/>
    <w:rsid w:val="00F6604A"/>
    <w:rsid w:val="00F74C55"/>
    <w:rsid w:val="00F77B17"/>
    <w:rsid w:val="00F81C1C"/>
    <w:rsid w:val="00F8504A"/>
    <w:rsid w:val="00F92325"/>
    <w:rsid w:val="00FA2D6F"/>
    <w:rsid w:val="00FB19AB"/>
    <w:rsid w:val="00FB441E"/>
    <w:rsid w:val="00FC7919"/>
    <w:rsid w:val="00FE1148"/>
    <w:rsid w:val="00FF199B"/>
    <w:rsid w:val="00FF5ECA"/>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B9543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945406"/>
    <w:pPr>
      <w:keepNext/>
      <w:numPr>
        <w:numId w:val="1"/>
      </w:numPr>
      <w:spacing w:before="18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B1E11"/>
    <w:pPr>
      <w:keepNext/>
      <w:numPr>
        <w:ilvl w:val="1"/>
        <w:numId w:val="1"/>
      </w:numPr>
      <w:tabs>
        <w:tab w:val="clear" w:pos="3447"/>
      </w:tabs>
      <w:spacing w:before="240" w:after="60"/>
      <w:ind w:left="567"/>
      <w:outlineLvl w:val="1"/>
    </w:pPr>
    <w:rPr>
      <w:rFonts w:ascii="Helvetica" w:eastAsia="MS Mincho" w:hAnsi="Helvetica" w:cs="Arial"/>
      <w:b/>
      <w:bCs/>
      <w:iCs/>
      <w:szCs w:val="28"/>
      <w:lang w:val="sv-SE" w:eastAsia="sv-S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945406"/>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B1E11"/>
    <w:rPr>
      <w:rFonts w:ascii="Helvetica" w:eastAsia="MS Mincho" w:hAnsi="Helvetica" w:cs="Arial"/>
      <w:b/>
      <w:bCs/>
      <w:iCs/>
      <w:sz w:val="20"/>
      <w:szCs w:val="28"/>
      <w:lang w:val="sv-SE" w:eastAsia="sv-S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w:link w:val="ListParagraph"/>
    <w:uiPriority w:val="34"/>
    <w:qFormat/>
    <w:rsid w:val="00416DEC"/>
    <w:rPr>
      <w:rFonts w:ascii="Times New Roman"/>
      <w:sz w:val="20"/>
      <w:szCs w:val="24"/>
    </w:rPr>
  </w:style>
  <w:style w:type="paragraph" w:styleId="BalloonText">
    <w:name w:val="Balloon Text"/>
    <w:basedOn w:val="Normal"/>
    <w:link w:val="BalloonTextChar"/>
    <w:uiPriority w:val="99"/>
    <w:semiHidden/>
    <w:unhideWhenUsed/>
    <w:rsid w:val="00D900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0AE"/>
    <w:rPr>
      <w:rFonts w:ascii="Segoe UI" w:hAnsi="Segoe UI" w:cs="Segoe UI"/>
      <w:sz w:val="18"/>
      <w:szCs w:val="18"/>
    </w:rPr>
  </w:style>
  <w:style w:type="paragraph" w:customStyle="1" w:styleId="Style2">
    <w:name w:val="_Style 2"/>
    <w:basedOn w:val="Normal"/>
    <w:uiPriority w:val="34"/>
    <w:qFormat/>
    <w:rsid w:val="00500D11"/>
    <w:pPr>
      <w:widowControl w:val="0"/>
      <w:ind w:leftChars="400" w:left="840"/>
      <w:jc w:val="both"/>
    </w:pPr>
    <w:rPr>
      <w:rFonts w:eastAsia="SimSun"/>
      <w:kern w:val="2"/>
      <w:sz w:val="21"/>
      <w:lang w:eastAsia="zh-CN"/>
    </w:rPr>
  </w:style>
  <w:style w:type="paragraph" w:customStyle="1" w:styleId="TAH">
    <w:name w:val="TAH"/>
    <w:basedOn w:val="Normal"/>
    <w:link w:val="TAHCar"/>
    <w:rsid w:val="00607CF7"/>
    <w:pPr>
      <w:keepNext/>
      <w:keepLines/>
      <w:jc w:val="center"/>
    </w:pPr>
    <w:rPr>
      <w:rFonts w:ascii="Arial" w:eastAsia="MS Mincho" w:hAnsi="Arial"/>
      <w:b/>
      <w:sz w:val="18"/>
      <w:szCs w:val="20"/>
      <w:lang w:val="en-GB" w:eastAsia="ja-JP"/>
    </w:rPr>
  </w:style>
  <w:style w:type="paragraph" w:customStyle="1" w:styleId="TAC">
    <w:name w:val="TAC"/>
    <w:basedOn w:val="Normal"/>
    <w:link w:val="TACChar"/>
    <w:rsid w:val="00607CF7"/>
    <w:pPr>
      <w:keepNext/>
      <w:keepLines/>
      <w:jc w:val="center"/>
    </w:pPr>
    <w:rPr>
      <w:rFonts w:ascii="Arial" w:hAnsi="Arial"/>
      <w:sz w:val="18"/>
      <w:szCs w:val="20"/>
      <w:lang w:val="en-GB"/>
    </w:rPr>
  </w:style>
  <w:style w:type="character" w:customStyle="1" w:styleId="TACChar">
    <w:name w:val="TAC Char"/>
    <w:link w:val="TAC"/>
    <w:locked/>
    <w:rsid w:val="00607CF7"/>
    <w:rPr>
      <w:rFonts w:ascii="Arial" w:hAnsi="Arial"/>
      <w:sz w:val="18"/>
      <w:szCs w:val="20"/>
      <w:lang w:val="en-GB"/>
    </w:rPr>
  </w:style>
  <w:style w:type="character" w:customStyle="1" w:styleId="TAHCar">
    <w:name w:val="TAH Car"/>
    <w:link w:val="TAH"/>
    <w:rsid w:val="00607CF7"/>
    <w:rPr>
      <w:rFonts w:ascii="Arial" w:eastAsia="MS Mincho" w:hAnsi="Arial"/>
      <w:b/>
      <w:sz w:val="18"/>
      <w:szCs w:val="20"/>
      <w:lang w:val="en-GB" w:eastAsia="ja-JP"/>
    </w:rPr>
  </w:style>
  <w:style w:type="paragraph" w:customStyle="1" w:styleId="TH">
    <w:name w:val="TH"/>
    <w:basedOn w:val="Normal"/>
    <w:link w:val="THChar"/>
    <w:rsid w:val="00607CF7"/>
    <w:pPr>
      <w:keepNext/>
      <w:keepLines/>
      <w:overflowPunct w:val="0"/>
      <w:autoSpaceDE w:val="0"/>
      <w:autoSpaceDN w:val="0"/>
      <w:adjustRightInd w:val="0"/>
      <w:spacing w:before="60" w:after="180"/>
      <w:jc w:val="center"/>
      <w:textAlignment w:val="baseline"/>
    </w:pPr>
    <w:rPr>
      <w:rFonts w:ascii="Arial" w:eastAsia="SimSun" w:hAnsi="Arial"/>
      <w:b/>
      <w:szCs w:val="20"/>
      <w:lang w:val="en-GB"/>
    </w:rPr>
  </w:style>
  <w:style w:type="paragraph" w:styleId="NormalWeb">
    <w:name w:val="Normal (Web)"/>
    <w:basedOn w:val="Normal"/>
    <w:uiPriority w:val="99"/>
    <w:unhideWhenUsed/>
    <w:rsid w:val="00607CF7"/>
    <w:pPr>
      <w:spacing w:before="100" w:beforeAutospacing="1" w:after="100" w:afterAutospacing="1"/>
    </w:pPr>
    <w:rPr>
      <w:rFonts w:eastAsia="SimSun"/>
      <w:sz w:val="24"/>
    </w:rPr>
  </w:style>
  <w:style w:type="character" w:customStyle="1" w:styleId="THChar">
    <w:name w:val="TH Char"/>
    <w:link w:val="TH"/>
    <w:rsid w:val="00607CF7"/>
    <w:rPr>
      <w:rFonts w:ascii="Arial" w:eastAsia="SimSun" w:hAnsi="Arial"/>
      <w:b/>
      <w:sz w:val="20"/>
      <w:szCs w:val="20"/>
      <w:lang w:val="en-GB"/>
    </w:rPr>
  </w:style>
  <w:style w:type="paragraph" w:customStyle="1" w:styleId="2222">
    <w:name w:val="스타일 스타일 스타일 스타일 양쪽 첫 줄:  2 글자 + 첫 줄:  2 글자 + 첫 줄:  2 글자 + 첫 줄:  2..."/>
    <w:basedOn w:val="Normal"/>
    <w:link w:val="2222Char"/>
    <w:rsid w:val="00607CF7"/>
    <w:pPr>
      <w:spacing w:after="180" w:line="336" w:lineRule="auto"/>
      <w:ind w:firstLineChars="200" w:firstLine="200"/>
      <w:jc w:val="both"/>
    </w:pPr>
    <w:rPr>
      <w:rFonts w:eastAsia="Malgun Gothic"/>
      <w:szCs w:val="20"/>
      <w:lang w:val="en-GB"/>
    </w:rPr>
  </w:style>
  <w:style w:type="character" w:customStyle="1" w:styleId="2222Char">
    <w:name w:val="스타일 스타일 스타일 스타일 양쪽 첫 줄:  2 글자 + 첫 줄:  2 글자 + 첫 줄:  2 글자 + 첫 줄:  2... Char"/>
    <w:link w:val="2222"/>
    <w:rsid w:val="00607CF7"/>
    <w:rPr>
      <w:rFonts w:ascii="Times New Roman" w:eastAsia="Malgun Gothic"/>
      <w:sz w:val="20"/>
      <w:szCs w:val="20"/>
      <w:lang w:val="en-GB"/>
    </w:rPr>
  </w:style>
  <w:style w:type="character" w:styleId="UnresolvedMention">
    <w:name w:val="Unresolved Mention"/>
    <w:basedOn w:val="DefaultParagraphFont"/>
    <w:uiPriority w:val="99"/>
    <w:semiHidden/>
    <w:unhideWhenUsed/>
    <w:rsid w:val="00483C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497884432">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502696388">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277</Words>
  <Characters>1474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2017-11-29T06:27:00Z</dcterms:created>
  <dcterms:modified xsi:type="dcterms:W3CDTF">2017-11-29T06:32:00Z</dcterms:modified>
</cp:coreProperties>
</file>